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07" w:rsidRPr="008E104F" w:rsidRDefault="00AF4907" w:rsidP="00AF4907">
      <w:pPr>
        <w:pStyle w:val="ConsPlusNormal"/>
        <w:jc w:val="center"/>
        <w:rPr>
          <w:b/>
          <w:sz w:val="22"/>
          <w:szCs w:val="22"/>
        </w:rPr>
      </w:pPr>
      <w:r w:rsidRPr="008E104F">
        <w:rPr>
          <w:b/>
          <w:sz w:val="22"/>
          <w:szCs w:val="22"/>
        </w:rPr>
        <w:t>Основные положения учетной политики</w:t>
      </w:r>
    </w:p>
    <w:p w:rsidR="00AF4907" w:rsidRPr="008E104F" w:rsidRDefault="00AF4907" w:rsidP="00AF4907">
      <w:pPr>
        <w:pStyle w:val="ConsPlusNormal"/>
        <w:jc w:val="center"/>
        <w:rPr>
          <w:b/>
          <w:sz w:val="22"/>
          <w:szCs w:val="22"/>
        </w:rPr>
      </w:pPr>
      <w:bookmarkStart w:id="0" w:name="Par39"/>
      <w:bookmarkEnd w:id="0"/>
      <w:r w:rsidRPr="008E104F">
        <w:rPr>
          <w:b/>
          <w:bCs/>
          <w:sz w:val="22"/>
          <w:szCs w:val="22"/>
        </w:rPr>
        <w:t>для целей бухгалтерского учета</w:t>
      </w:r>
    </w:p>
    <w:p w:rsidR="00AF4907" w:rsidRPr="008E104F" w:rsidRDefault="000738F4" w:rsidP="00AF4907">
      <w:pPr>
        <w:pStyle w:val="ConsPlusNormal"/>
        <w:jc w:val="center"/>
        <w:rPr>
          <w:sz w:val="22"/>
          <w:szCs w:val="22"/>
        </w:rPr>
      </w:pPr>
      <w:r>
        <w:rPr>
          <w:sz w:val="22"/>
          <w:szCs w:val="22"/>
        </w:rPr>
        <w:t xml:space="preserve">МОУ </w:t>
      </w:r>
      <w:proofErr w:type="spellStart"/>
      <w:r>
        <w:rPr>
          <w:sz w:val="22"/>
          <w:szCs w:val="22"/>
        </w:rPr>
        <w:t>Макарьевская</w:t>
      </w:r>
      <w:proofErr w:type="spellEnd"/>
      <w:r>
        <w:rPr>
          <w:sz w:val="22"/>
          <w:szCs w:val="22"/>
        </w:rPr>
        <w:t xml:space="preserve"> школа</w:t>
      </w:r>
    </w:p>
    <w:p w:rsidR="00AF4907" w:rsidRPr="008E104F" w:rsidRDefault="00AF4907" w:rsidP="00AF4907">
      <w:pPr>
        <w:pStyle w:val="ConsPlusNormal"/>
        <w:jc w:val="center"/>
        <w:rPr>
          <w:sz w:val="22"/>
          <w:szCs w:val="22"/>
        </w:rPr>
      </w:pPr>
    </w:p>
    <w:p w:rsidR="00AF4907" w:rsidRPr="008E104F" w:rsidRDefault="00AF4907" w:rsidP="00AF4907">
      <w:pPr>
        <w:autoSpaceDE w:val="0"/>
        <w:autoSpaceDN w:val="0"/>
        <w:adjustRightInd w:val="0"/>
        <w:spacing w:after="0" w:line="240" w:lineRule="auto"/>
        <w:rPr>
          <w:rFonts w:ascii="Times New Roman" w:eastAsiaTheme="minorHAnsi" w:hAnsi="Times New Roman"/>
        </w:rPr>
      </w:pPr>
      <w:r w:rsidRPr="008E104F">
        <w:rPr>
          <w:rFonts w:ascii="Times New Roman" w:eastAsiaTheme="minorHAnsi" w:hAnsi="Times New Roman"/>
        </w:rPr>
        <w:t xml:space="preserve">       Учетная политика  для целей бухгалтерского и налогового учета утверждена приказом </w:t>
      </w:r>
      <w:r w:rsidR="000738F4" w:rsidRPr="000738F4">
        <w:rPr>
          <w:rFonts w:ascii="Times New Roman" w:eastAsiaTheme="minorHAnsi" w:hAnsi="Times New Roman"/>
        </w:rPr>
        <w:t>и.о</w:t>
      </w:r>
      <w:proofErr w:type="gramStart"/>
      <w:r w:rsidR="000738F4" w:rsidRPr="000738F4">
        <w:rPr>
          <w:rFonts w:ascii="Times New Roman" w:eastAsiaTheme="minorHAnsi" w:hAnsi="Times New Roman"/>
        </w:rPr>
        <w:t>.д</w:t>
      </w:r>
      <w:proofErr w:type="gramEnd"/>
      <w:r w:rsidR="000738F4" w:rsidRPr="000738F4">
        <w:rPr>
          <w:rFonts w:ascii="Times New Roman" w:eastAsiaTheme="minorHAnsi" w:hAnsi="Times New Roman"/>
        </w:rPr>
        <w:t xml:space="preserve">иректора </w:t>
      </w:r>
      <w:r w:rsidRPr="000738F4">
        <w:rPr>
          <w:rFonts w:ascii="Times New Roman" w:eastAsiaTheme="minorHAnsi" w:hAnsi="Times New Roman"/>
        </w:rPr>
        <w:t xml:space="preserve">   №___</w:t>
      </w:r>
      <w:r w:rsidR="000738F4" w:rsidRPr="000738F4">
        <w:rPr>
          <w:rFonts w:ascii="Times New Roman" w:eastAsiaTheme="minorHAnsi" w:hAnsi="Times New Roman"/>
        </w:rPr>
        <w:t>18</w:t>
      </w:r>
      <w:r w:rsidRPr="000738F4">
        <w:rPr>
          <w:rFonts w:ascii="Times New Roman" w:eastAsiaTheme="minorHAnsi" w:hAnsi="Times New Roman"/>
        </w:rPr>
        <w:t>_ от _</w:t>
      </w:r>
      <w:r w:rsidR="000738F4" w:rsidRPr="000738F4">
        <w:rPr>
          <w:rFonts w:ascii="Times New Roman" w:eastAsiaTheme="minorHAnsi" w:hAnsi="Times New Roman"/>
        </w:rPr>
        <w:t>27</w:t>
      </w:r>
      <w:r w:rsidRPr="000738F4">
        <w:rPr>
          <w:rFonts w:ascii="Times New Roman" w:eastAsiaTheme="minorHAnsi" w:hAnsi="Times New Roman"/>
        </w:rPr>
        <w:t>_____ декабря</w:t>
      </w:r>
      <w:r w:rsidRPr="008E104F">
        <w:rPr>
          <w:rFonts w:ascii="Times New Roman" w:eastAsiaTheme="minorHAnsi" w:hAnsi="Times New Roman"/>
        </w:rPr>
        <w:t xml:space="preserve"> 2023 года.</w:t>
      </w:r>
    </w:p>
    <w:p w:rsidR="00AF4907" w:rsidRPr="00531B76" w:rsidRDefault="00AF4907" w:rsidP="00004E4F">
      <w:pPr>
        <w:autoSpaceDE w:val="0"/>
        <w:autoSpaceDN w:val="0"/>
        <w:adjustRightInd w:val="0"/>
        <w:spacing w:after="0" w:line="240" w:lineRule="auto"/>
        <w:jc w:val="both"/>
        <w:rPr>
          <w:rFonts w:ascii="Times New Roman" w:hAnsi="Times New Roman"/>
        </w:rPr>
      </w:pPr>
      <w:r w:rsidRPr="00531B76">
        <w:rPr>
          <w:rFonts w:ascii="Times New Roman" w:hAnsi="Times New Roman"/>
        </w:rPr>
        <w:t>Учетная политика разработана в соответствии с требованиями следующих документов:</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Бюджетный кодекс РФ ;</w:t>
      </w:r>
      <w:bookmarkStart w:id="1" w:name="_GoBack"/>
      <w:bookmarkEnd w:id="1"/>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закон от 06.12.2011 N 402-ФЗ "О бухгалтерском учете";</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закон от 12.01.1996 N 7-ФЗ "О некоммерческих организациях";</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"Аренда", утвержденный Приказом Минфина России от 31.12.2016 N 258н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xml:space="preserve">-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w:t>
      </w:r>
      <w:proofErr w:type="gramStart"/>
      <w:r w:rsidRPr="00AF4907">
        <w:rPr>
          <w:rFonts w:ascii="Times New Roman" w:hAnsi="Times New Roman"/>
          <w:lang w:eastAsia="ru-RU"/>
        </w:rPr>
        <w:t>от</w:t>
      </w:r>
      <w:proofErr w:type="gramEnd"/>
      <w:r w:rsidRPr="00AF4907">
        <w:rPr>
          <w:rFonts w:ascii="Times New Roman" w:hAnsi="Times New Roman"/>
          <w:lang w:eastAsia="ru-RU"/>
        </w:rPr>
        <w:t xml:space="preserve"> 30.12.2017 N 274н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"Доходы", утвержденный Приказом Минфина России от 27.02.2018 N 32н;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N 277н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N 34н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"Запасы", утвержденный Приказом Минфина России от 07.12.2018 N 256н;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государственных финансов "Нематериальные активы", утвержденный Приказом Минфина России от 15.11.2019 N 181н;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государственных финансов "Выплаты персоналу", утвержденный Приказом Минфина России от 15.11.2019 N 184н;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государственных финансов "Финансовые инструменты", утвержденный Приказом Минфина России от 30.06.2020 N 129н;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Федеральный стандарт бухгалтерского учета государственных финансов "Метод долевого участия", утвержденный Приказом Минфина России от 30.10.2020 N 254н;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xml:space="preserve">-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AF4907">
        <w:rPr>
          <w:rFonts w:ascii="Times New Roman" w:hAnsi="Times New Roman"/>
          <w:lang w:eastAsia="ru-RU"/>
        </w:rPr>
        <w:lastRenderedPageBreak/>
        <w:t>внебюджетными фондами, государственных академий наук, государственных (муниципальных) учреждений, утвержденный Приказом Минфина России от 01.12.2010 N 157н;</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План счетов бухгалтерского учета бюджетных учреждений, утвержденный Приказом Минфина России от 16.12.2010 N 174н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Инструкция по применению Плана счетов бухгалтерского учета бюджетных учреждений, утвержденная Приказом Минфина России от 16.12.2010 N 174н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proofErr w:type="gramStart"/>
      <w:r w:rsidRPr="00AF4907">
        <w:rPr>
          <w:rFonts w:ascii="Times New Roman" w:hAnsi="Times New Roman"/>
          <w:lang w:eastAsia="ru-RU"/>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включая Приложение N 5 -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w:t>
      </w:r>
      <w:proofErr w:type="gramEnd"/>
      <w:r w:rsidRPr="00AF4907">
        <w:rPr>
          <w:rFonts w:ascii="Times New Roman" w:hAnsi="Times New Roman"/>
          <w:lang w:eastAsia="ru-RU"/>
        </w:rPr>
        <w:t xml:space="preserve">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Приказ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w:t>
      </w:r>
      <w:r w:rsidR="00660C52" w:rsidRPr="008E104F">
        <w:rPr>
          <w:rFonts w:ascii="Times New Roman" w:hAnsi="Times New Roman"/>
          <w:lang w:eastAsia="ru-RU"/>
        </w:rPr>
        <w:t>о их формированию и применению"</w:t>
      </w:r>
      <w:r w:rsidRPr="00AF4907">
        <w:rPr>
          <w:rFonts w:ascii="Times New Roman" w:hAnsi="Times New Roman"/>
          <w:lang w:eastAsia="ru-RU"/>
        </w:rPr>
        <w:t>, включая Приложение N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Указание Банка России от 09.12.2019 N 5348-У "О правилах наличных расчетов";</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roofErr w:type="gramStart"/>
      <w:r w:rsidRPr="00AF4907">
        <w:rPr>
          <w:rFonts w:ascii="Times New Roman" w:hAnsi="Times New Roman"/>
          <w:lang w:eastAsia="ru-RU"/>
        </w:rPr>
        <w:t xml:space="preserve"> ;</w:t>
      </w:r>
      <w:proofErr w:type="gramEnd"/>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AF4907" w:rsidRPr="00AF4907" w:rsidRDefault="00AF4907" w:rsidP="00AF4907">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N 82н;</w:t>
      </w:r>
    </w:p>
    <w:p w:rsidR="00AF4907" w:rsidRPr="00AF4907" w:rsidRDefault="00AF4907" w:rsidP="008E104F">
      <w:pPr>
        <w:autoSpaceDE w:val="0"/>
        <w:autoSpaceDN w:val="0"/>
        <w:adjustRightInd w:val="0"/>
        <w:spacing w:after="0" w:line="240" w:lineRule="auto"/>
        <w:jc w:val="both"/>
        <w:rPr>
          <w:rFonts w:ascii="Times New Roman" w:hAnsi="Times New Roman"/>
          <w:lang w:eastAsia="ru-RU"/>
        </w:rPr>
      </w:pPr>
      <w:r w:rsidRPr="00AF4907">
        <w:rPr>
          <w:rFonts w:ascii="Times New Roman" w:hAnsi="Times New Roman"/>
          <w:lang w:eastAsia="ru-RU"/>
        </w:rPr>
        <w:t>- Порядок применения классификации операций сектора государственного управления, утвержденный Приказом Минфина России от 29.11.2017 N 209н</w:t>
      </w:r>
      <w:r w:rsidR="00C1473E" w:rsidRPr="008E104F">
        <w:rPr>
          <w:rFonts w:ascii="Times New Roman" w:hAnsi="Times New Roman"/>
          <w:lang w:eastAsia="ru-RU"/>
        </w:rPr>
        <w:t>.</w:t>
      </w:r>
    </w:p>
    <w:p w:rsidR="005534DC" w:rsidRPr="008E104F" w:rsidRDefault="00AF4907" w:rsidP="008E104F">
      <w:pPr>
        <w:spacing w:after="0" w:line="240" w:lineRule="auto"/>
        <w:rPr>
          <w:rFonts w:ascii="Times New Roman" w:hAnsi="Times New Roman"/>
        </w:rPr>
      </w:pPr>
      <w:r w:rsidRPr="008E104F">
        <w:rPr>
          <w:rFonts w:ascii="Times New Roman" w:hAnsi="Times New Roman"/>
        </w:rPr>
        <w:t xml:space="preserve">Бухгалтерский и налоговый учет ведется Централизованной бухгалтерией </w:t>
      </w:r>
      <w:proofErr w:type="gramStart"/>
      <w:r w:rsidRPr="008E104F">
        <w:rPr>
          <w:rFonts w:ascii="Times New Roman" w:hAnsi="Times New Roman"/>
        </w:rPr>
        <w:t>Управления образования администрации Ветлужского муниципального округа  Нижегородской области</w:t>
      </w:r>
      <w:proofErr w:type="gramEnd"/>
      <w:r w:rsidRPr="008E104F">
        <w:rPr>
          <w:rFonts w:ascii="Times New Roman" w:hAnsi="Times New Roman"/>
        </w:rPr>
        <w:t xml:space="preserve">     Бухгалтерский учет ведется в электронном виде с применением программных продуктов «1С:</w:t>
      </w:r>
      <w:r w:rsidR="005534DC" w:rsidRPr="008E104F">
        <w:rPr>
          <w:rFonts w:ascii="Times New Roman" w:hAnsi="Times New Roman"/>
        </w:rPr>
        <w:t xml:space="preserve"> Предприятие»  и «Зарплата и кадры». </w:t>
      </w:r>
    </w:p>
    <w:p w:rsidR="005534DC" w:rsidRPr="008E104F" w:rsidRDefault="005534DC" w:rsidP="008E104F">
      <w:pPr>
        <w:pStyle w:val="ConsPlusNormal"/>
        <w:jc w:val="both"/>
        <w:rPr>
          <w:sz w:val="22"/>
          <w:szCs w:val="22"/>
        </w:rPr>
      </w:pPr>
      <w:r w:rsidRPr="008E104F">
        <w:rPr>
          <w:sz w:val="22"/>
          <w:szCs w:val="22"/>
        </w:rPr>
        <w:t xml:space="preserve">      Рабочий план счетов формируется в составе номеров счетов учета для ведения синтетического и аналитического учета.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Нормы расхода ГСМ утверждаются в виде отдельного документа на основании Методических </w:t>
      </w:r>
      <w:hyperlink r:id="rId4" w:history="1">
        <w:r w:rsidRPr="008E104F">
          <w:rPr>
            <w:sz w:val="22"/>
            <w:szCs w:val="22"/>
          </w:rPr>
          <w:t>рекомендаций</w:t>
        </w:r>
      </w:hyperlink>
      <w:r w:rsidRPr="008E104F">
        <w:rPr>
          <w:sz w:val="22"/>
          <w:szCs w:val="22"/>
        </w:rPr>
        <w:t xml:space="preserve"> N АМ-23.</w:t>
      </w:r>
      <w:r w:rsidR="008E104F" w:rsidRPr="008E104F">
        <w:rPr>
          <w:rFonts w:eastAsiaTheme="minorEastAsia"/>
          <w:sz w:val="22"/>
          <w:szCs w:val="22"/>
        </w:rPr>
        <w:t xml:space="preserve"> В учете формируются  резервы для оплаты отпусков за фактически отработанное время и выплаты компенсаций за неиспользованный отпуск, включая страховые взносы. Как расходы будущих периодов учитываются расходы на страхование имущества, гражданской ответственности. До</w:t>
      </w:r>
      <w:r w:rsidRPr="008E104F">
        <w:rPr>
          <w:sz w:val="22"/>
          <w:szCs w:val="22"/>
        </w:rPr>
        <w:t xml:space="preserve">стоверность данных учета и отчетности подтверждается путем инвентаризаций активов и обязательств. </w:t>
      </w:r>
    </w:p>
    <w:tbl>
      <w:tblPr>
        <w:tblW w:w="9654" w:type="dxa"/>
        <w:tblInd w:w="93" w:type="dxa"/>
        <w:tblLayout w:type="fixed"/>
        <w:tblLook w:val="04A0"/>
      </w:tblPr>
      <w:tblGrid>
        <w:gridCol w:w="1858"/>
        <w:gridCol w:w="1378"/>
        <w:gridCol w:w="2201"/>
        <w:gridCol w:w="7"/>
        <w:gridCol w:w="4210"/>
      </w:tblGrid>
      <w:tr w:rsidR="00AF4907" w:rsidRPr="008E104F" w:rsidTr="008E104F">
        <w:trPr>
          <w:trHeight w:val="852"/>
        </w:trPr>
        <w:tc>
          <w:tcPr>
            <w:tcW w:w="1858" w:type="dxa"/>
            <w:tcBorders>
              <w:top w:val="single" w:sz="4" w:space="0" w:color="auto"/>
              <w:left w:val="single" w:sz="4" w:space="0" w:color="auto"/>
              <w:bottom w:val="single" w:sz="4" w:space="0" w:color="auto"/>
              <w:right w:val="single" w:sz="4" w:space="0" w:color="auto"/>
            </w:tcBorders>
            <w:shd w:val="clear" w:color="auto" w:fill="auto"/>
            <w:noWrap/>
            <w:hideMark/>
          </w:tcPr>
          <w:p w:rsidR="00AF4907" w:rsidRPr="008E104F" w:rsidRDefault="00AF4907" w:rsidP="00207294">
            <w:pPr>
              <w:rPr>
                <w:rFonts w:ascii="Times New Roman" w:hAnsi="Times New Roman"/>
              </w:rPr>
            </w:pPr>
            <w:r w:rsidRPr="008E104F">
              <w:rPr>
                <w:rFonts w:ascii="Times New Roman" w:hAnsi="Times New Roman"/>
              </w:rPr>
              <w:lastRenderedPageBreak/>
              <w:t>Наименование объекта учета</w:t>
            </w:r>
          </w:p>
        </w:tc>
        <w:tc>
          <w:tcPr>
            <w:tcW w:w="1378" w:type="dxa"/>
            <w:tcBorders>
              <w:top w:val="single" w:sz="4" w:space="0" w:color="auto"/>
              <w:left w:val="nil"/>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Код счета бюджетного учета</w:t>
            </w:r>
          </w:p>
        </w:tc>
        <w:tc>
          <w:tcPr>
            <w:tcW w:w="2201" w:type="dxa"/>
            <w:tcBorders>
              <w:top w:val="single" w:sz="4" w:space="0" w:color="auto"/>
              <w:left w:val="nil"/>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Способ ведения бюджетного учета</w:t>
            </w:r>
          </w:p>
        </w:tc>
        <w:tc>
          <w:tcPr>
            <w:tcW w:w="4217" w:type="dxa"/>
            <w:gridSpan w:val="2"/>
            <w:tcBorders>
              <w:top w:val="single" w:sz="4" w:space="0" w:color="auto"/>
              <w:left w:val="nil"/>
              <w:bottom w:val="single" w:sz="4" w:space="0" w:color="auto"/>
              <w:right w:val="single" w:sz="4" w:space="0" w:color="auto"/>
            </w:tcBorders>
            <w:shd w:val="clear" w:color="auto" w:fill="auto"/>
            <w:noWrap/>
            <w:hideMark/>
          </w:tcPr>
          <w:p w:rsidR="00AF4907" w:rsidRPr="008E104F" w:rsidRDefault="00AF4907" w:rsidP="00207294">
            <w:pPr>
              <w:rPr>
                <w:rFonts w:ascii="Times New Roman" w:hAnsi="Times New Roman"/>
              </w:rPr>
            </w:pPr>
            <w:r w:rsidRPr="008E104F">
              <w:rPr>
                <w:rFonts w:ascii="Times New Roman" w:hAnsi="Times New Roman"/>
              </w:rPr>
              <w:t>Характеристика применяемого способа</w:t>
            </w:r>
          </w:p>
        </w:tc>
      </w:tr>
      <w:tr w:rsidR="00AF4907" w:rsidRPr="008E104F" w:rsidTr="008E104F">
        <w:trPr>
          <w:trHeight w:val="329"/>
        </w:trPr>
        <w:tc>
          <w:tcPr>
            <w:tcW w:w="1858" w:type="dxa"/>
            <w:tcBorders>
              <w:top w:val="nil"/>
              <w:left w:val="single" w:sz="4" w:space="0" w:color="auto"/>
              <w:bottom w:val="single" w:sz="4" w:space="0" w:color="auto"/>
              <w:right w:val="nil"/>
            </w:tcBorders>
            <w:shd w:val="clear" w:color="auto" w:fill="auto"/>
            <w:noWrap/>
            <w:vAlign w:val="bottom"/>
            <w:hideMark/>
          </w:tcPr>
          <w:p w:rsidR="00AF4907" w:rsidRPr="008E104F" w:rsidRDefault="00AF4907" w:rsidP="00207294">
            <w:pPr>
              <w:jc w:val="center"/>
              <w:rPr>
                <w:rFonts w:ascii="Times New Roman" w:hAnsi="Times New Roman"/>
              </w:rPr>
            </w:pPr>
            <w:r w:rsidRPr="008E104F">
              <w:rPr>
                <w:rFonts w:ascii="Times New Roman" w:hAnsi="Times New Roman"/>
              </w:rPr>
              <w:t>1</w:t>
            </w:r>
          </w:p>
        </w:tc>
        <w:tc>
          <w:tcPr>
            <w:tcW w:w="1378" w:type="dxa"/>
            <w:tcBorders>
              <w:top w:val="nil"/>
              <w:left w:val="single" w:sz="4" w:space="0" w:color="auto"/>
              <w:bottom w:val="single" w:sz="4" w:space="0" w:color="auto"/>
              <w:right w:val="nil"/>
            </w:tcBorders>
            <w:shd w:val="clear" w:color="auto" w:fill="auto"/>
            <w:noWrap/>
            <w:vAlign w:val="bottom"/>
            <w:hideMark/>
          </w:tcPr>
          <w:p w:rsidR="00AF4907" w:rsidRPr="008E104F" w:rsidRDefault="00AF4907" w:rsidP="00207294">
            <w:pPr>
              <w:jc w:val="center"/>
              <w:rPr>
                <w:rFonts w:ascii="Times New Roman" w:hAnsi="Times New Roman"/>
              </w:rPr>
            </w:pPr>
            <w:r w:rsidRPr="008E104F">
              <w:rPr>
                <w:rFonts w:ascii="Times New Roman" w:hAnsi="Times New Roman"/>
              </w:rPr>
              <w:t>2</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907" w:rsidRPr="008E104F" w:rsidRDefault="00AF4907" w:rsidP="00207294">
            <w:pPr>
              <w:jc w:val="center"/>
              <w:rPr>
                <w:rFonts w:ascii="Times New Roman" w:hAnsi="Times New Roman"/>
              </w:rPr>
            </w:pPr>
            <w:r w:rsidRPr="008E104F">
              <w:rPr>
                <w:rFonts w:ascii="Times New Roman" w:hAnsi="Times New Roman"/>
              </w:rPr>
              <w:t>3</w:t>
            </w:r>
          </w:p>
        </w:tc>
        <w:tc>
          <w:tcPr>
            <w:tcW w:w="4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907" w:rsidRPr="008E104F" w:rsidRDefault="00AF4907" w:rsidP="00207294">
            <w:pPr>
              <w:jc w:val="center"/>
              <w:rPr>
                <w:rFonts w:ascii="Times New Roman" w:hAnsi="Times New Roman"/>
              </w:rPr>
            </w:pPr>
            <w:r w:rsidRPr="008E104F">
              <w:rPr>
                <w:rFonts w:ascii="Times New Roman" w:hAnsi="Times New Roman"/>
              </w:rPr>
              <w:t>4</w:t>
            </w:r>
          </w:p>
        </w:tc>
      </w:tr>
      <w:tr w:rsidR="00AF4907" w:rsidRPr="008E104F" w:rsidTr="008E104F">
        <w:trPr>
          <w:trHeight w:val="2048"/>
        </w:trPr>
        <w:tc>
          <w:tcPr>
            <w:tcW w:w="1858"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Основные средства</w:t>
            </w:r>
          </w:p>
        </w:tc>
        <w:tc>
          <w:tcPr>
            <w:tcW w:w="1378"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010100000</w:t>
            </w:r>
          </w:p>
        </w:tc>
        <w:tc>
          <w:tcPr>
            <w:tcW w:w="2201"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Определение срока полезного использования</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07" w:rsidRPr="008E104F" w:rsidRDefault="00AF4907" w:rsidP="00AF4907">
            <w:pPr>
              <w:rPr>
                <w:rFonts w:ascii="Times New Roman" w:hAnsi="Times New Roman"/>
              </w:rPr>
            </w:pPr>
            <w:r w:rsidRPr="008E104F">
              <w:rPr>
                <w:rFonts w:ascii="Times New Roman" w:hAnsi="Times New Roman"/>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AF4907" w:rsidRPr="008E104F" w:rsidTr="008E104F">
        <w:trPr>
          <w:trHeight w:val="507"/>
        </w:trPr>
        <w:tc>
          <w:tcPr>
            <w:tcW w:w="1858"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Амортизация</w:t>
            </w:r>
          </w:p>
        </w:tc>
        <w:tc>
          <w:tcPr>
            <w:tcW w:w="1378"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010400000</w:t>
            </w:r>
          </w:p>
        </w:tc>
        <w:tc>
          <w:tcPr>
            <w:tcW w:w="2201"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Методы начисления амортизации</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Линейный метод</w:t>
            </w:r>
          </w:p>
        </w:tc>
      </w:tr>
      <w:tr w:rsidR="00AF4907" w:rsidRPr="008E104F" w:rsidTr="008E104F">
        <w:trPr>
          <w:trHeight w:val="1935"/>
        </w:trPr>
        <w:tc>
          <w:tcPr>
            <w:tcW w:w="185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Амортизация</w:t>
            </w:r>
          </w:p>
        </w:tc>
        <w:tc>
          <w:tcPr>
            <w:tcW w:w="137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010400000</w:t>
            </w:r>
          </w:p>
        </w:tc>
        <w:tc>
          <w:tcPr>
            <w:tcW w:w="2201"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Методы учета суммы амортизации при переоценке объекта основных средств</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AF4907" w:rsidRPr="008E104F" w:rsidTr="008E104F">
        <w:trPr>
          <w:trHeight w:val="420"/>
        </w:trPr>
        <w:tc>
          <w:tcPr>
            <w:tcW w:w="185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p>
          <w:p w:rsidR="00AF4907" w:rsidRPr="008E104F" w:rsidRDefault="00AF4907" w:rsidP="00207294">
            <w:pPr>
              <w:rPr>
                <w:rFonts w:ascii="Times New Roman" w:hAnsi="Times New Roman"/>
              </w:rPr>
            </w:pPr>
            <w:r w:rsidRPr="008E104F">
              <w:rPr>
                <w:rFonts w:ascii="Times New Roman" w:hAnsi="Times New Roman"/>
              </w:rPr>
              <w:t>Материальные запасы</w:t>
            </w:r>
          </w:p>
        </w:tc>
        <w:tc>
          <w:tcPr>
            <w:tcW w:w="137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p>
          <w:p w:rsidR="00AF4907" w:rsidRPr="008E104F" w:rsidRDefault="00AF4907" w:rsidP="00207294">
            <w:pPr>
              <w:rPr>
                <w:rFonts w:ascii="Times New Roman" w:hAnsi="Times New Roman"/>
              </w:rPr>
            </w:pPr>
            <w:r w:rsidRPr="008E104F">
              <w:rPr>
                <w:rFonts w:ascii="Times New Roman" w:hAnsi="Times New Roman"/>
              </w:rPr>
              <w:t>010500000</w:t>
            </w:r>
          </w:p>
        </w:tc>
        <w:tc>
          <w:tcPr>
            <w:tcW w:w="2201"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Выбытие материальных запасов</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По средней фактической стоимости</w:t>
            </w:r>
          </w:p>
        </w:tc>
      </w:tr>
      <w:tr w:rsidR="00AF4907" w:rsidRPr="008E104F" w:rsidTr="008E104F">
        <w:trPr>
          <w:trHeight w:val="435"/>
        </w:trPr>
        <w:tc>
          <w:tcPr>
            <w:tcW w:w="185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Бланки строгой отчетности</w:t>
            </w:r>
          </w:p>
        </w:tc>
        <w:tc>
          <w:tcPr>
            <w:tcW w:w="137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03</w:t>
            </w:r>
          </w:p>
        </w:tc>
        <w:tc>
          <w:tcPr>
            <w:tcW w:w="2201"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Учет</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Условная оценка: один объект, один рубль</w:t>
            </w:r>
          </w:p>
        </w:tc>
      </w:tr>
      <w:tr w:rsidR="00AF4907" w:rsidRPr="008E104F" w:rsidTr="008E104F">
        <w:trPr>
          <w:trHeight w:val="435"/>
        </w:trPr>
        <w:tc>
          <w:tcPr>
            <w:tcW w:w="185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Основные средства в эксплуатации</w:t>
            </w:r>
          </w:p>
        </w:tc>
        <w:tc>
          <w:tcPr>
            <w:tcW w:w="1378" w:type="dxa"/>
            <w:tcBorders>
              <w:top w:val="nil"/>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21</w:t>
            </w:r>
          </w:p>
        </w:tc>
        <w:tc>
          <w:tcPr>
            <w:tcW w:w="2201" w:type="dxa"/>
            <w:tcBorders>
              <w:top w:val="single" w:sz="4" w:space="0" w:color="auto"/>
              <w:left w:val="single" w:sz="4" w:space="0" w:color="auto"/>
              <w:bottom w:val="single" w:sz="4" w:space="0" w:color="auto"/>
              <w:right w:val="nil"/>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Учет</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07" w:rsidRPr="008E104F" w:rsidRDefault="00AF4907" w:rsidP="00207294">
            <w:pPr>
              <w:rPr>
                <w:rFonts w:ascii="Times New Roman" w:hAnsi="Times New Roman"/>
              </w:rPr>
            </w:pPr>
            <w:r w:rsidRPr="008E104F">
              <w:rPr>
                <w:rFonts w:ascii="Times New Roman" w:hAnsi="Times New Roman"/>
              </w:rPr>
              <w:t>По балансовой стоимости введенного в эксплуатацию объекта</w:t>
            </w:r>
          </w:p>
        </w:tc>
      </w:tr>
      <w:tr w:rsidR="00AF4907" w:rsidRPr="008E104F" w:rsidTr="008E1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4"/>
        </w:trPr>
        <w:tc>
          <w:tcPr>
            <w:tcW w:w="1858" w:type="dxa"/>
          </w:tcPr>
          <w:p w:rsidR="00AF4907" w:rsidRPr="008E104F" w:rsidRDefault="00AF4907" w:rsidP="00207294">
            <w:pPr>
              <w:rPr>
                <w:rFonts w:ascii="Times New Roman" w:hAnsi="Times New Roman"/>
              </w:rPr>
            </w:pPr>
            <w:r w:rsidRPr="008E104F">
              <w:rPr>
                <w:rFonts w:ascii="Times New Roman" w:hAnsi="Times New Roman"/>
                <w:bCs/>
              </w:rPr>
              <w:t>Награды, призы, кубки и ценные подарки, сувениры</w:t>
            </w:r>
          </w:p>
        </w:tc>
        <w:tc>
          <w:tcPr>
            <w:tcW w:w="1378" w:type="dxa"/>
          </w:tcPr>
          <w:p w:rsidR="00AF4907" w:rsidRPr="008E104F" w:rsidRDefault="00AF4907" w:rsidP="00207294">
            <w:pPr>
              <w:rPr>
                <w:rFonts w:ascii="Times New Roman" w:hAnsi="Times New Roman"/>
              </w:rPr>
            </w:pPr>
            <w:r w:rsidRPr="008E104F">
              <w:rPr>
                <w:rFonts w:ascii="Times New Roman" w:hAnsi="Times New Roman"/>
              </w:rPr>
              <w:t>07</w:t>
            </w:r>
          </w:p>
        </w:tc>
        <w:tc>
          <w:tcPr>
            <w:tcW w:w="2201" w:type="dxa"/>
          </w:tcPr>
          <w:p w:rsidR="00AF4907" w:rsidRPr="008E104F" w:rsidRDefault="00AF4907" w:rsidP="00207294">
            <w:pPr>
              <w:rPr>
                <w:rFonts w:ascii="Times New Roman" w:hAnsi="Times New Roman"/>
              </w:rPr>
            </w:pPr>
            <w:r w:rsidRPr="008E104F">
              <w:rPr>
                <w:rFonts w:ascii="Times New Roman" w:hAnsi="Times New Roman"/>
              </w:rPr>
              <w:t>Учет</w:t>
            </w:r>
          </w:p>
        </w:tc>
        <w:tc>
          <w:tcPr>
            <w:tcW w:w="4217" w:type="dxa"/>
            <w:gridSpan w:val="2"/>
          </w:tcPr>
          <w:p w:rsidR="00AF4907" w:rsidRPr="008E104F" w:rsidRDefault="00AF4907" w:rsidP="00C1473E">
            <w:pPr>
              <w:rPr>
                <w:rFonts w:ascii="Times New Roman" w:hAnsi="Times New Roman"/>
              </w:rPr>
            </w:pPr>
            <w:r w:rsidRPr="008E104F">
              <w:rPr>
                <w:rFonts w:ascii="Times New Roman" w:hAnsi="Times New Roman"/>
              </w:rPr>
              <w:t>В условной оценке один предмет, один рубль — полученные награды, призы, кубки.По стоимости приобретения — ценные подарки, сувениры и материальные ценности для награждения.</w:t>
            </w:r>
          </w:p>
        </w:tc>
      </w:tr>
      <w:tr w:rsidR="00AF4907" w:rsidRPr="008E104F" w:rsidTr="008E1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15"/>
        </w:trPr>
        <w:tc>
          <w:tcPr>
            <w:tcW w:w="1858" w:type="dxa"/>
          </w:tcPr>
          <w:p w:rsidR="00AF4907" w:rsidRPr="008E104F" w:rsidRDefault="00AF4907" w:rsidP="00207294">
            <w:pPr>
              <w:rPr>
                <w:rFonts w:ascii="Times New Roman" w:hAnsi="Times New Roman"/>
              </w:rPr>
            </w:pPr>
            <w:r w:rsidRPr="008E104F">
              <w:rPr>
                <w:rFonts w:ascii="Times New Roman" w:hAnsi="Times New Roman"/>
                <w:bCs/>
              </w:rPr>
              <w:t xml:space="preserve">Запасные части к транспортным средствам, выданные взамен </w:t>
            </w:r>
            <w:proofErr w:type="gramStart"/>
            <w:r w:rsidRPr="008E104F">
              <w:rPr>
                <w:rFonts w:ascii="Times New Roman" w:hAnsi="Times New Roman"/>
                <w:bCs/>
              </w:rPr>
              <w:t>изношенных</w:t>
            </w:r>
            <w:proofErr w:type="gramEnd"/>
          </w:p>
        </w:tc>
        <w:tc>
          <w:tcPr>
            <w:tcW w:w="1378" w:type="dxa"/>
          </w:tcPr>
          <w:p w:rsidR="00AF4907" w:rsidRPr="008E104F" w:rsidRDefault="00AF4907" w:rsidP="00207294">
            <w:pPr>
              <w:rPr>
                <w:rFonts w:ascii="Times New Roman" w:hAnsi="Times New Roman"/>
              </w:rPr>
            </w:pPr>
            <w:r w:rsidRPr="008E104F">
              <w:rPr>
                <w:rFonts w:ascii="Times New Roman" w:hAnsi="Times New Roman"/>
              </w:rPr>
              <w:t>09</w:t>
            </w:r>
          </w:p>
        </w:tc>
        <w:tc>
          <w:tcPr>
            <w:tcW w:w="2208" w:type="dxa"/>
            <w:gridSpan w:val="2"/>
          </w:tcPr>
          <w:p w:rsidR="00AF4907" w:rsidRPr="008E104F" w:rsidRDefault="00AF4907" w:rsidP="00207294">
            <w:pPr>
              <w:rPr>
                <w:rFonts w:ascii="Times New Roman" w:hAnsi="Times New Roman"/>
              </w:rPr>
            </w:pPr>
            <w:r w:rsidRPr="008E104F">
              <w:rPr>
                <w:rFonts w:ascii="Times New Roman" w:hAnsi="Times New Roman"/>
              </w:rPr>
              <w:t>Учет</w:t>
            </w:r>
          </w:p>
        </w:tc>
        <w:tc>
          <w:tcPr>
            <w:tcW w:w="4210" w:type="dxa"/>
          </w:tcPr>
          <w:p w:rsidR="00AF4907" w:rsidRPr="008E104F" w:rsidRDefault="00AF4907" w:rsidP="008E104F">
            <w:pPr>
              <w:rPr>
                <w:rFonts w:ascii="Times New Roman" w:hAnsi="Times New Roman"/>
              </w:rPr>
            </w:pPr>
            <w:r w:rsidRPr="008E104F">
              <w:rPr>
                <w:rFonts w:ascii="Times New Roman" w:hAnsi="Times New Roman"/>
              </w:rPr>
              <w:t>К </w:t>
            </w:r>
            <w:proofErr w:type="spellStart"/>
            <w:r w:rsidRPr="008E104F">
              <w:rPr>
                <w:rFonts w:ascii="Times New Roman" w:hAnsi="Times New Roman"/>
              </w:rPr>
              <w:t>забалансовому</w:t>
            </w:r>
            <w:proofErr w:type="spellEnd"/>
            <w:r w:rsidRPr="008E104F">
              <w:rPr>
                <w:rFonts w:ascii="Times New Roman" w:hAnsi="Times New Roman"/>
              </w:rPr>
              <w:t xml:space="preserve"> учету запчасти принимают в момент списания их с баланса для ремонта </w:t>
            </w:r>
            <w:r w:rsidR="008E104F" w:rsidRPr="008E104F">
              <w:rPr>
                <w:rFonts w:ascii="Times New Roman" w:hAnsi="Times New Roman"/>
              </w:rPr>
              <w:t>т</w:t>
            </w:r>
            <w:r w:rsidRPr="008E104F">
              <w:rPr>
                <w:rFonts w:ascii="Times New Roman" w:hAnsi="Times New Roman"/>
              </w:rPr>
              <w:t>ранспорта и учитывают в течение периода эксплуатации в составе ТС. Учет ведется  по видам и количеству запчастей.</w:t>
            </w:r>
          </w:p>
        </w:tc>
      </w:tr>
    </w:tbl>
    <w:p w:rsidR="00AF4907" w:rsidRPr="008E104F" w:rsidRDefault="00AF4907" w:rsidP="00AF4907">
      <w:pPr>
        <w:rPr>
          <w:rFonts w:ascii="Times New Roman" w:hAnsi="Times New Roman"/>
        </w:rPr>
      </w:pPr>
    </w:p>
    <w:p w:rsidR="00710715" w:rsidRPr="008E104F" w:rsidRDefault="000738F4">
      <w:r w:rsidRPr="000738F4">
        <w:rPr>
          <w:rFonts w:ascii="Times New Roman" w:hAnsi="Times New Roman"/>
        </w:rPr>
        <w:t>И.о. д</w:t>
      </w:r>
      <w:r w:rsidR="00AF4907" w:rsidRPr="000738F4">
        <w:rPr>
          <w:rFonts w:ascii="Times New Roman" w:hAnsi="Times New Roman"/>
        </w:rPr>
        <w:t>иректо</w:t>
      </w:r>
      <w:r w:rsidRPr="000738F4">
        <w:rPr>
          <w:rFonts w:ascii="Times New Roman" w:hAnsi="Times New Roman"/>
        </w:rPr>
        <w:t>ра</w:t>
      </w:r>
      <w:r>
        <w:rPr>
          <w:rFonts w:ascii="Times New Roman" w:hAnsi="Times New Roman"/>
        </w:rPr>
        <w:t>:                                                 Т.Б. Александрова</w:t>
      </w:r>
    </w:p>
    <w:sectPr w:rsidR="00710715" w:rsidRPr="008E104F" w:rsidSect="008E104F">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4907"/>
    <w:rsid w:val="00004E4F"/>
    <w:rsid w:val="000738F4"/>
    <w:rsid w:val="0008437F"/>
    <w:rsid w:val="00091F42"/>
    <w:rsid w:val="00191A41"/>
    <w:rsid w:val="001A7682"/>
    <w:rsid w:val="002F30A7"/>
    <w:rsid w:val="00531B76"/>
    <w:rsid w:val="005534DC"/>
    <w:rsid w:val="005808DE"/>
    <w:rsid w:val="005B204E"/>
    <w:rsid w:val="005B6FB6"/>
    <w:rsid w:val="005C491A"/>
    <w:rsid w:val="00660C52"/>
    <w:rsid w:val="008E104F"/>
    <w:rsid w:val="00A86A45"/>
    <w:rsid w:val="00AF4907"/>
    <w:rsid w:val="00C1473E"/>
    <w:rsid w:val="00C17A18"/>
    <w:rsid w:val="00C76A4B"/>
    <w:rsid w:val="00C929AE"/>
    <w:rsid w:val="00DB1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07"/>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907"/>
    <w:pPr>
      <w:widowControl w:val="0"/>
      <w:autoSpaceDE w:val="0"/>
      <w:autoSpaceDN w:val="0"/>
      <w:adjustRightInd w:val="0"/>
    </w:pPr>
    <w:rPr>
      <w:rFonts w:eastAsia="Times New Roman"/>
      <w:sz w:val="24"/>
      <w:szCs w:val="24"/>
      <w:lang w:eastAsia="ru-RU"/>
    </w:rPr>
  </w:style>
  <w:style w:type="paragraph" w:styleId="a3">
    <w:name w:val="Balloon Text"/>
    <w:basedOn w:val="a"/>
    <w:link w:val="a4"/>
    <w:uiPriority w:val="99"/>
    <w:semiHidden/>
    <w:unhideWhenUsed/>
    <w:rsid w:val="00531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B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07"/>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907"/>
    <w:pPr>
      <w:widowControl w:val="0"/>
      <w:autoSpaceDE w:val="0"/>
      <w:autoSpaceDN w:val="0"/>
      <w:adjustRightInd w:val="0"/>
    </w:pPr>
    <w:rPr>
      <w:rFonts w:eastAsia="Times New Roman"/>
      <w:sz w:val="24"/>
      <w:szCs w:val="24"/>
      <w:lang w:eastAsia="ru-RU"/>
    </w:rPr>
  </w:style>
  <w:style w:type="paragraph" w:styleId="a3">
    <w:name w:val="Balloon Text"/>
    <w:basedOn w:val="a"/>
    <w:link w:val="a4"/>
    <w:uiPriority w:val="99"/>
    <w:semiHidden/>
    <w:unhideWhenUsed/>
    <w:rsid w:val="00531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B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2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in.consultant.ru/link/?req=doc&amp;base=LAW&amp;n=419184&amp;date=15.12.2023&amp;dst=10000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Admin</cp:lastModifiedBy>
  <cp:revision>9</cp:revision>
  <cp:lastPrinted>2023-12-22T10:42:00Z</cp:lastPrinted>
  <dcterms:created xsi:type="dcterms:W3CDTF">2023-12-21T12:59:00Z</dcterms:created>
  <dcterms:modified xsi:type="dcterms:W3CDTF">2023-12-27T11:28:00Z</dcterms:modified>
</cp:coreProperties>
</file>